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drawingml.chart+xml" PartName="/word/charts/chart1.xml"/>
  <Override PartName="/word/charts/style_aop_chart1.xml" ContentType="application/vnd.ms-office.chartstyle+xml"/>
  <Override PartName="/word/charts/colors_aop_chart1.xml" ContentType="application/vnd.ms-office.chartcolorstyle+xml"/>
  <Default Extension="xlsx" ContentType="application/vnd.openxmlformats-officedocument.spreadsheetml.shee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77777777" w:rsidR="00C73463" w:rsidRDefault="00C73463" w:rsidP="00C73463"/>
    <w:p w14:paraId="1E9A2CA4" w14:textId="77777777" w:rsidR="00C73463" w:rsidRDefault="00C73463" w:rsidP="00C73463"/>
    <w:p w14:paraId="1BAF5EA1" w14:textId="77777777" w:rsidR="00C73463" w:rsidRDefault="00C73463" w:rsidP="00C73463"/>
    <w:p w14:paraId="31CE122B" w14:textId="2C6D9D5E" w:rsidR="00C73463" w:rsidRDefault="00737DC4" w:rsidP="00C73463">
      <w:r>
        <w:drawing>
          <wp:inline distB="0" distL="0" distR="0" distT="0">
            <wp:extent cx="5486400" cy="3200400"/>
            <wp:effectExtent b="0" l="0" r="0" t="0"/>
            <wp:docPr id="1191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9BC0A1" w14:textId="77777777" w:rsidR="00C73463" w:rsidRDefault="00C73463" w:rsidP="00C73463"/>
    <w:p w14:paraId="7739C57D" w14:textId="77777777" w:rsidR="00C73463" w:rsidRDefault="00C73463" w:rsidP="00C73463"/>
    <w:p w14:paraId="7E5A46EA" w14:textId="77777777" w:rsidR="00C73463" w:rsidRDefault="00C73463" w:rsidP="00C73463"/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459E9F9B" w14:textId="77777777" w:rsidR="00C73463" w:rsidRDefault="00C73463" w:rsidP="00C73463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7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8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350D92"/>
    <w:rsid w:val="00737DC4"/>
    <w:rsid w:val="00817C00"/>
    <w:rsid w:val="008C676A"/>
    <w:rsid w:val="009D7E3E"/>
    <w:rsid w:val="00B30646"/>
    <w:rsid w:val="00C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BE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val="en-GB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-codes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apexofficepri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1" Type="http://schemas.openxmlformats.org/officeDocument/2006/relationships/chart" Target="charts/chart1.xml"/></Relationships>
</file>

<file path=word/charts/_rels/chart1.xml.rels><?xml version="1.0" encoding="UTF-8" standalone="yes"?>
            <Relationships xmlns="http://schemas.openxmlformats.org/package/2006/relationships">
              <Relationship Id="rId3" Type="http://schemas.openxmlformats.org/officeDocument/2006/relationships/package" Target="../embeddings/Microsoft_Excel_Worksheet_chart1.xlsx"/>
              <Relationship Id="rId2" Type="http://schemas.microsoft.com/office/2011/relationships/chartColorStyle" Target="colors_aop_chart1.xml"/>
              <Relationship Id="rId1" Type="http://schemas.microsoft.com/office/2011/relationships/chartStyle" Target="style_aop_chart1.xml"/>
            </Relationships>
            
</file>

<file path=word/charts/chart1.xml><?xml version="1.0" encoding="utf-8"?>
<c:chartSpace xmlns:a="http://schemas.openxmlformats.org/drawingml/2006/main" xmlns:c="http://schemas.openxmlformats.org/drawingml/2006/chart" xmlns:r="http://schemas.openxmlformats.org/officeDocument/2006/relationships" xmlns:c16r2="http://schemas.microsoft.com/office/drawing/2015/06/chart">
  <c:date1904 val="0"/>
  <c:lang val="en-US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strCache>
                <c:ptCount val="1"/>
                <c:pt idx="0">
                  <c:v>Volume</c:v>
                </c:pt>
              </c:strCache>
            </c:strRef>
          </c:tx>
          <c:spPr>
            <a:solidFill>
              <a:schemeClr val="accent1"/>
            </a:solidFill>
            <a:ln w="19050">
              <a:noFill/>
            </a:ln>
            <a:effectLst/>
          </c:spPr>
          <c:invertIfNegative val="0"/>
          <c:cat>
            <c:numRef>
              <c:numCache>
                <c:formatCode>mm/yy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numCache>
                <c:formatCode>General</c:formatCode>
                <c:ptCount val="5"/>
                <c:pt idx="0">
                  <c:v>70</c:v>
                </c:pt>
                <c:pt idx="1">
                  <c:v>120</c:v>
                </c:pt>
                <c:pt idx="2">
                  <c:v>150</c:v>
                </c:pt>
                <c:pt idx="3">
                  <c:v>135</c:v>
                </c:pt>
                <c:pt idx="4">
                  <c:v>148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309248"/>
        <c:axId val="142310784"/>
      </c:barChart>
      <c:stockChart>
        <c:ser>
          <c:idx val="1"/>
          <c:order val="1"/>
          <c:tx>
            <c:strRef>
              <c:strCache>
                <c:ptCount val="1"/>
                <c:pt idx="0">
                  <c:v>Open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numRef>
              <c:numCache>
                <c:formatCode>mm/yy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numCache>
                <c:formatCode>General</c:formatCode>
                <c:ptCount val="5"/>
                <c:pt idx="0">
                  <c:v>44</c:v>
                </c:pt>
                <c:pt idx="1">
                  <c:v>25</c:v>
                </c:pt>
                <c:pt idx="2">
                  <c:v>38</c:v>
                </c:pt>
                <c:pt idx="3">
                  <c:v>50</c:v>
                </c:pt>
                <c:pt idx="4">
                  <c:v>34</c:v>
                </c:pt>
              </c:numCache>
            </c:numRef>
          </c:val>
          <c:smooth val="0"/>
        </c:ser>
        <c:ser>
          <c:idx val="2"/>
          <c:order val="2"/>
          <c:tx>
            <c:strRef>
              <c:strCache>
                <c:ptCount val="1"/>
                <c:pt idx="0">
                  <c:v>High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numRef>
              <c:numCache>
                <c:formatCode>mm/yy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numCache>
                <c:formatCode>General</c:formatCode>
                <c:ptCount val="5"/>
                <c:pt idx="0">
                  <c:v>55</c:v>
                </c:pt>
                <c:pt idx="1">
                  <c:v>57</c:v>
                </c:pt>
                <c:pt idx="2">
                  <c:v>57</c:v>
                </c:pt>
                <c:pt idx="3">
                  <c:v>58</c:v>
                </c:pt>
                <c:pt idx="4">
                  <c:v>58</c:v>
                </c:pt>
              </c:numCache>
            </c:numRef>
          </c:val>
          <c:smooth val="0"/>
        </c:ser>
        <c:ser>
          <c:idx val="3"/>
          <c:order val="3"/>
          <c:tx>
            <c:strRef>
              <c:strCache>
                <c:ptCount val="1"/>
                <c:pt idx="0">
                  <c:v>Low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numRef>
              <c:numCache>
                <c:formatCode>mm/yy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numCache>
                <c:formatCode>General</c:formatCode>
                <c:ptCount val="5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11</c:v>
                </c:pt>
                <c:pt idx="4">
                  <c:v>25</c:v>
                </c:pt>
              </c:numCache>
            </c:numRef>
          </c:val>
          <c:smooth val="0"/>
        </c:ser>
        <c:ser>
          <c:idx val="4"/>
          <c:order val="4"/>
          <c:tx>
            <c:strRef>
              <c:strCache>
                <c:ptCount val="1"/>
                <c:pt idx="0">
                  <c:v>Close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numRef>
              <c:numCache>
                <c:formatCode>mm/yy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numCache>
                <c:formatCode>General</c:formatCode>
                <c:ptCount val="5"/>
                <c:pt idx="0">
                  <c:v>25</c:v>
                </c:pt>
                <c:pt idx="1">
                  <c:v>38</c:v>
                </c:pt>
                <c:pt idx="2">
                  <c:v>50</c:v>
                </c:pt>
                <c:pt idx="3">
                  <c:v>35</c:v>
                </c:pt>
                <c:pt idx="4">
                  <c:v>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upDownBars>
          <c:gapWidth val="150"/>
          <c:upBars>
            <c:spPr>
              <a:solidFill>
                <a:schemeClr val="lt1"/>
              </a:solidFill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upBars>
          <c:downBars>
            <c:spPr>
              <a:solidFill>
                <a:schemeClr val="dk1">
                  <a:lumMod val="75000"/>
                  <a:lumOff val="25000"/>
                </a:schemeClr>
              </a:solidFill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downBars>
        </c:upDownBars>
        <c:axId val="142310783"/>
        <c:axId val="142310785"/>
      </c:stockChart>
      <c:dateAx>
        <c:axId val="142309248"/>
        <c:delete val="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2310784"/>
        <c:crosses val="autoZero"/>
        <c:auto val="1"/>
        <c:lblOffset val="100"/>
        <c:numFmt formatCode="mm/yy" sourceLinked="1"/>
        <c:majorTickMark val="out"/>
        <c:minorTickMark val="none"/>
        <c:baseTimeUnit val="days"/>
        <c:majorUnit val="1"/>
        <c:majorTimeUnit val="months"/>
      </c:dateAx>
      <c:valAx>
        <c:delete val="0"/>
        <c:axId val="1423107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42309248"/>
        <c:crosses val="autoZero"/>
        <c:crossBetween val="between"/>
      </c:valAx>
      <c:valAx>
        <c:delete val="0"/>
        <c:axId val="142310785"/>
        <c:scaling>
          <c:orientation val="minMax"/>
        </c:scaling>
        <c:axPos val="r"/>
        <c:majorGridlines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42310783"/>
        <c:crosses val="max"/>
        <c:crossBetween val="between"/>
      </c:valAx>
      <c:dateAx>
        <c:axId val="142310783"/>
        <c:delete val="1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2310785"/>
        <c:crosses val="autoZero"/>
        <c:auto val="1"/>
        <c:lblOffset val="100"/>
        <c:numFmt formatCode="mm/yy" sourceLinked="1"/>
        <c:majorTickMark val="out"/>
        <c:minorTickMark val="none"/>
        <c:baseTimeUnit val="days"/>
        <c:majorUnit val="1"/>
        <c:majorTimeUnit val="months"/>
      </c:dateAx>
    </c:plotArea>
    <c:legend>
      <c:legendPos val="r"/>
      <c:overlay val="0"/>
      <c:layout/>
    </c:legend>
    <c:plotVisOnly val="1"/>
    <c:dispBlanksAs val="gap"/>
  </c:chart>
  <c:externalData r:id="rId3">
    <c:autoUpdate val="0"/>
  </c:externalData>
</c:chartSpace>
</file>

<file path=word/charts/colors_aop_chart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_aop_chart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AOP Support</cp:lastModifiedBy>
  <cp:revision>3</cp:revision>
  <dcterms:created xsi:type="dcterms:W3CDTF">2023-05-03T13:19:00Z</dcterms:created>
  <dcterms:modified xsi:type="dcterms:W3CDTF">2023-05-03T13:19:00Z</dcterms:modified>
</cp:coreProperties>
</file>